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B95456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8A5169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Système de conduites se composant de tuyaux en acier non allié, et de raccords en acier non allié, zingués du côté extérieur, qui sont assemblés selon un procédé de sertissage</w:t>
      </w:r>
      <w:r w:rsidR="00444B9B" w:rsidRPr="00B95456">
        <w:rPr>
          <w:lang w:val="fr-BE"/>
        </w:rPr>
        <w:t>.</w:t>
      </w:r>
    </w:p>
    <w:p w:rsid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</w:p>
    <w:p w:rsidR="00B95456" w:rsidRP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tuyaux et les raccords doivent être de la même marque</w:t>
      </w:r>
      <w:r>
        <w:rPr>
          <w:lang w:val="fr-BE"/>
        </w:rPr>
        <w:t>.</w:t>
      </w:r>
    </w:p>
    <w:p w:rsidR="008A5169" w:rsidRPr="00D06139" w:rsidRDefault="00B95456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:rsidR="00C74455" w:rsidRPr="00D06139" w:rsidRDefault="00B9545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Tuyaux</w:t>
      </w:r>
      <w:proofErr w:type="spellEnd"/>
    </w:p>
    <w:p w:rsidR="005949A3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des tuyaux de précision soudés en acier et à fine paroi (conformes à la norme NBN EN 10305) confectionnés avec de l’acier non allié E195 (acier carbone) ayant le numéro de matériau </w:t>
      </w:r>
      <w:r w:rsidR="005949A3" w:rsidRPr="00B95456">
        <w:rPr>
          <w:lang w:val="fr-BE"/>
        </w:rPr>
        <w:t>1.0034.</w:t>
      </w:r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5949A3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protégés du côté extérieur contre la corrosion au moyen d’un zingage électrolytique (galvanisation) ayant une épaisseur minimale de </w:t>
      </w:r>
      <w:r w:rsidR="005949A3" w:rsidRPr="00B95456">
        <w:rPr>
          <w:lang w:val="fr-BE"/>
        </w:rPr>
        <w:t xml:space="preserve">10 </w:t>
      </w:r>
      <w:r w:rsidR="005949A3" w:rsidRPr="00B95456">
        <w:rPr>
          <w:rFonts w:cs="Arial"/>
          <w:lang w:val="fr-BE"/>
        </w:rPr>
        <w:t>µ</w:t>
      </w:r>
      <w:r w:rsidR="005949A3" w:rsidRPr="00B95456">
        <w:rPr>
          <w:lang w:val="fr-BE"/>
        </w:rPr>
        <w:t xml:space="preserve">m </w:t>
      </w:r>
      <w:r>
        <w:rPr>
          <w:lang w:val="fr-BE"/>
        </w:rPr>
        <w:t>ou</w:t>
      </w:r>
      <w:r w:rsidR="00F540A7" w:rsidRPr="00B95456">
        <w:rPr>
          <w:lang w:val="fr-BE"/>
        </w:rPr>
        <w:t xml:space="preserve">, </w:t>
      </w:r>
      <w:r>
        <w:rPr>
          <w:lang w:val="fr-BE"/>
        </w:rPr>
        <w:t>pour les diamètres</w:t>
      </w:r>
      <w:r w:rsidR="00F540A7" w:rsidRPr="00B95456">
        <w:rPr>
          <w:lang w:val="fr-BE"/>
        </w:rPr>
        <w:t xml:space="preserve"> 12 </w:t>
      </w:r>
      <w:r>
        <w:rPr>
          <w:lang w:val="fr-BE"/>
        </w:rPr>
        <w:t>à</w:t>
      </w:r>
      <w:r w:rsidR="00F540A7" w:rsidRPr="00B95456">
        <w:rPr>
          <w:lang w:val="fr-BE"/>
        </w:rPr>
        <w:t xml:space="preserve"> 54 mm, </w:t>
      </w:r>
      <w:r w:rsidRPr="00B95456">
        <w:rPr>
          <w:lang w:val="fr-BE"/>
        </w:rPr>
        <w:t xml:space="preserve">d’un manteau de protection blanc en polypropylène (stabilisé pour de fortes températures) ayant une épaisseur de </w:t>
      </w:r>
      <w:r w:rsidR="005949A3" w:rsidRPr="00B95456">
        <w:rPr>
          <w:lang w:val="fr-BE"/>
        </w:rPr>
        <w:t xml:space="preserve">1 </w:t>
      </w:r>
      <w:proofErr w:type="spellStart"/>
      <w:r w:rsidR="005949A3" w:rsidRPr="00B95456">
        <w:rPr>
          <w:lang w:val="fr-BE"/>
        </w:rPr>
        <w:t>mm.</w:t>
      </w:r>
      <w:proofErr w:type="spellEnd"/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886585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disponibles en longueurs de </w:t>
      </w:r>
      <w:smartTag w:uri="urn:schemas-microsoft-com:office:smarttags" w:element="metricconverter">
        <w:smartTagPr>
          <w:attr w:name="ProductID" w:val="6 m￨tres"/>
        </w:smartTagPr>
        <w:r w:rsidRPr="00B95456">
          <w:rPr>
            <w:lang w:val="fr-BE"/>
          </w:rPr>
          <w:t>6 mètres</w:t>
        </w:r>
      </w:smartTag>
      <w:r w:rsidRPr="00B95456">
        <w:rPr>
          <w:lang w:val="fr-BE"/>
        </w:rPr>
        <w:t xml:space="preserve"> pour les diamètres suivants</w:t>
      </w:r>
      <w:r w:rsidR="006C25BD" w:rsidRPr="00B95456">
        <w:rPr>
          <w:lang w:val="fr-BE"/>
        </w:rPr>
        <w:t xml:space="preserve">, </w:t>
      </w:r>
      <w:r>
        <w:rPr>
          <w:lang w:val="fr-BE"/>
        </w:rPr>
        <w:t>avec leurs épaisseurs de paroi</w:t>
      </w:r>
      <w:r w:rsidR="006C25BD" w:rsidRPr="00B95456">
        <w:rPr>
          <w:lang w:val="fr-BE"/>
        </w:rPr>
        <w:t>:</w:t>
      </w:r>
    </w:p>
    <w:p w:rsidR="00886585" w:rsidRPr="00B95456" w:rsidRDefault="00886585" w:rsidP="006C25BD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702"/>
        <w:gridCol w:w="1417"/>
        <w:gridCol w:w="1559"/>
        <w:gridCol w:w="1701"/>
        <w:gridCol w:w="1418"/>
      </w:tblGrid>
      <w:tr w:rsidR="00B95456" w:rsidTr="00B95456">
        <w:tc>
          <w:tcPr>
            <w:tcW w:w="1559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2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1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8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</w:tr>
    </w:tbl>
    <w:p w:rsidR="006C25BD" w:rsidRDefault="006C25BD" w:rsidP="006C25BD">
      <w:pPr>
        <w:pStyle w:val="Bulleted2"/>
        <w:numPr>
          <w:ilvl w:val="0"/>
          <w:numId w:val="0"/>
        </w:numPr>
      </w:pPr>
    </w:p>
    <w:p w:rsidR="00685B7E" w:rsidRDefault="00F540A7" w:rsidP="00886585">
      <w:pPr>
        <w:pStyle w:val="Bulleted2"/>
        <w:numPr>
          <w:ilvl w:val="0"/>
          <w:numId w:val="0"/>
        </w:numPr>
      </w:pPr>
      <w:r w:rsidRPr="00F540A7">
        <w:rPr>
          <w:lang w:val="nl-BE"/>
        </w:rPr>
        <w:t>Op de buizen is minimaal de volgende markering aangebracht in rode kleur: merk, diameter en materiaalnummer</w:t>
      </w:r>
      <w:r w:rsidR="00685B7E">
        <w:rPr>
          <w:lang w:val="nl-BE"/>
        </w:rPr>
        <w:t>.</w:t>
      </w:r>
    </w:p>
    <w:p w:rsidR="008A5169" w:rsidRPr="00D06139" w:rsidRDefault="00B9545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Raccords</w:t>
      </w:r>
      <w:proofErr w:type="spellEnd"/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raccords à sertir sont composés d’acier non allié E195 (acier carbone) ayant le numéro de matériau 1.0034.</w:t>
      </w:r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:rsidR="00F540A7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raccords à sertir sont protégés du côté extérieur contre la corrosion au moyen d’un zingage électrolytique (galvanisation) ayant une épaisseur d’environ </w:t>
      </w:r>
      <w:r w:rsidR="00F540A7" w:rsidRPr="00B95456">
        <w:rPr>
          <w:lang w:val="fr-BE"/>
        </w:rPr>
        <w:t xml:space="preserve">8 </w:t>
      </w:r>
      <w:r w:rsidR="00F540A7" w:rsidRPr="00B95456">
        <w:rPr>
          <w:rFonts w:cs="Arial"/>
          <w:lang w:val="fr-BE"/>
        </w:rPr>
        <w:t>µ</w:t>
      </w:r>
      <w:r w:rsidR="00F540A7" w:rsidRPr="00B95456">
        <w:rPr>
          <w:lang w:val="fr-BE"/>
        </w:rPr>
        <w:t>m.</w:t>
      </w:r>
    </w:p>
    <w:p w:rsidR="00CA1667" w:rsidRPr="00B95456" w:rsidRDefault="00CA1667" w:rsidP="00F540A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 xml:space="preserve">Les raccords à sertir possèdent un </w:t>
      </w:r>
      <w:r w:rsidRPr="00D30542">
        <w:rPr>
          <w:rFonts w:ascii="Helvetica 45 Light" w:hAnsi="Helvetica 45 Light"/>
          <w:color w:val="000000"/>
          <w:lang w:val="fr-BE"/>
        </w:rPr>
        <w:t>indicateur de sertissage (bague synthétique rouge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:rsidR="00C21DC5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 xml:space="preserve">Les raccords à sertir possèdent un </w:t>
      </w:r>
      <w:r w:rsidR="00C21DC5" w:rsidRPr="003C78B8">
        <w:rPr>
          <w:i/>
          <w:iCs/>
          <w:highlight w:val="yellow"/>
          <w:lang w:val="fr-BE"/>
        </w:rPr>
        <w:t xml:space="preserve">à </w:t>
      </w:r>
      <w:proofErr w:type="spellStart"/>
      <w:r w:rsidR="00C21DC5" w:rsidRPr="003C78B8">
        <w:rPr>
          <w:i/>
          <w:iCs/>
          <w:highlight w:val="yellow"/>
          <w:lang w:val="fr-BE"/>
        </w:rPr>
        <w:t>complétér</w:t>
      </w:r>
      <w:proofErr w:type="spellEnd"/>
      <w:r w:rsidR="00C21DC5" w:rsidRPr="003C78B8">
        <w:rPr>
          <w:i/>
          <w:iCs/>
          <w:highlight w:val="yellow"/>
          <w:lang w:val="fr-BE"/>
        </w:rPr>
        <w:t xml:space="preserve"> avec type O-ring</w:t>
      </w:r>
      <w:r w:rsidR="00C21DC5">
        <w:rPr>
          <w:i/>
          <w:iCs/>
          <w:highlight w:val="yellow"/>
          <w:lang w:val="fr-BE"/>
        </w:rPr>
        <w:t xml:space="preserve"> </w:t>
      </w:r>
      <w:r w:rsidR="00C21DC5" w:rsidRPr="003C78B8">
        <w:rPr>
          <w:highlight w:val="yellow"/>
          <w:vertAlign w:val="superscript"/>
          <w:lang w:val="fr-BE"/>
        </w:rPr>
        <w:t>(1)</w:t>
      </w:r>
      <w:r w:rsidR="00C21DC5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  <w:r w:rsidR="00CA1667" w:rsidRPr="00D30542">
        <w:rPr>
          <w:lang w:val="fr-BE"/>
        </w:rPr>
        <w:t xml:space="preserve">  </w:t>
      </w:r>
      <w:r w:rsidR="00C21DC5" w:rsidRPr="00261B2A">
        <w:rPr>
          <w:highlight w:val="yellow"/>
          <w:lang w:val="fr-BE"/>
        </w:rPr>
        <w:t xml:space="preserve">L’O-ring a </w:t>
      </w:r>
      <w:r w:rsidR="00C21DC5" w:rsidRPr="00BE0BB9">
        <w:rPr>
          <w:highlight w:val="yellow"/>
          <w:lang w:val="fr-BE"/>
        </w:rPr>
        <w:t xml:space="preserve">été conçu d’une manière telle que, lors de l’essai de pression, les assemblages non sertis sont aisément </w:t>
      </w:r>
      <w:r w:rsidR="00C21DC5" w:rsidRPr="003C78B8">
        <w:rPr>
          <w:highlight w:val="yellow"/>
          <w:lang w:val="fr-BE"/>
        </w:rPr>
        <w:t>détectés.</w:t>
      </w:r>
      <w:r w:rsidR="00C21DC5">
        <w:rPr>
          <w:highlight w:val="yellow"/>
          <w:lang w:val="fr-BE"/>
        </w:rPr>
        <w:t xml:space="preserve"> </w:t>
      </w:r>
      <w:r w:rsidR="00C21DC5" w:rsidRPr="00CF5D03">
        <w:rPr>
          <w:highlight w:val="yellow"/>
          <w:vertAlign w:val="superscript"/>
          <w:lang w:val="fr-BE"/>
        </w:rPr>
        <w:t>(2)</w:t>
      </w:r>
      <w:r w:rsidR="00C21DC5" w:rsidRPr="00CF5D03">
        <w:rPr>
          <w:lang w:val="fr-BE"/>
        </w:rPr>
        <w:t xml:space="preserve">  </w:t>
      </w:r>
    </w:p>
    <w:p w:rsidR="00C21DC5" w:rsidRDefault="00C21DC5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ab/>
      </w:r>
    </w:p>
    <w:p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:rsidR="008B6BB6" w:rsidRPr="00D06139" w:rsidRDefault="00D30542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:rsidR="008B6BB6" w:rsidRPr="00D06139" w:rsidRDefault="00D30542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  <w:r>
        <w:rPr>
          <w:rFonts w:ascii="Arial" w:hAnsi="Arial"/>
          <w:b/>
          <w:u w:val="none"/>
        </w:rPr>
        <w:t xml:space="preserve"> du </w:t>
      </w:r>
      <w:proofErr w:type="spellStart"/>
      <w:r>
        <w:rPr>
          <w:rFonts w:ascii="Arial" w:hAnsi="Arial"/>
          <w:b/>
          <w:u w:val="none"/>
        </w:rPr>
        <w:t>système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C21DC5" w:rsidRPr="00C21DC5" w:rsidTr="00D30542">
        <w:tc>
          <w:tcPr>
            <w:tcW w:w="4815" w:type="dxa"/>
          </w:tcPr>
          <w:p w:rsidR="00C21DC5" w:rsidRDefault="00C21DC5" w:rsidP="00C21DC5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:rsidR="00C21DC5" w:rsidRPr="001C49B8" w:rsidRDefault="00C21DC5" w:rsidP="00C21DC5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(3)</w:t>
            </w:r>
          </w:p>
        </w:tc>
      </w:tr>
      <w:tr w:rsidR="00C21DC5" w:rsidRPr="00C21DC5" w:rsidTr="00D30542">
        <w:tc>
          <w:tcPr>
            <w:tcW w:w="4815" w:type="dxa"/>
          </w:tcPr>
          <w:p w:rsidR="00C21DC5" w:rsidRPr="00BB1E63" w:rsidRDefault="00C21DC5" w:rsidP="00C21DC5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>Température de service</w:t>
            </w:r>
            <w:r>
              <w:rPr>
                <w:lang w:val="fr-BE"/>
              </w:rPr>
              <w:t xml:space="preserve"> </w:t>
            </w:r>
          </w:p>
        </w:tc>
        <w:tc>
          <w:tcPr>
            <w:tcW w:w="4588" w:type="dxa"/>
          </w:tcPr>
          <w:p w:rsidR="00C21DC5" w:rsidRPr="001C49B8" w:rsidRDefault="00C21DC5" w:rsidP="00C21DC5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>
              <w:rPr>
                <w:i/>
                <w:iCs/>
                <w:highlight w:val="yellow"/>
                <w:vertAlign w:val="superscript"/>
                <w:lang w:val="fr-BE"/>
              </w:rPr>
              <w:t>4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Classe</w:t>
            </w:r>
            <w:proofErr w:type="spellEnd"/>
            <w:r>
              <w:t xml:space="preserve"> </w:t>
            </w:r>
            <w:proofErr w:type="spellStart"/>
            <w:r>
              <w:t>d’incendie</w:t>
            </w:r>
            <w:proofErr w:type="spellEnd"/>
          </w:p>
        </w:tc>
        <w:tc>
          <w:tcPr>
            <w:tcW w:w="4588" w:type="dxa"/>
          </w:tcPr>
          <w:p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proofErr w:type="spellStart"/>
            <w:r w:rsidR="00D30542">
              <w:t>selon</w:t>
            </w:r>
            <w:proofErr w:type="spellEnd"/>
            <w:r>
              <w:t xml:space="preserve"> NBN EN 13501</w:t>
            </w:r>
          </w:p>
        </w:tc>
      </w:tr>
      <w:tr w:rsidR="00FD410F" w:rsidTr="00D30542">
        <w:tc>
          <w:tcPr>
            <w:tcW w:w="4815" w:type="dxa"/>
          </w:tcPr>
          <w:p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 xml:space="preserve">12 </w:t>
            </w:r>
            <w:r>
              <w:t>mm/</w:t>
            </w:r>
            <w:proofErr w:type="spellStart"/>
            <w:r>
              <w:t>mK</w:t>
            </w:r>
            <w:proofErr w:type="spellEnd"/>
          </w:p>
        </w:tc>
      </w:tr>
    </w:tbl>
    <w:p w:rsidR="00FD410F" w:rsidRPr="00D06139" w:rsidRDefault="00D30542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FD410F" w:rsidRPr="00D30542">
        <w:rPr>
          <w:lang w:val="fr-BE"/>
        </w:rPr>
        <w:t>.</w:t>
      </w:r>
    </w:p>
    <w:p w:rsidR="00464107" w:rsidRDefault="00464107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464107" w:rsidRPr="00D30542" w:rsidRDefault="00464107" w:rsidP="0046410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un environnement humide permanent ou non permanent,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lastRenderedPageBreak/>
        <w:t>Certificati</w:t>
      </w:r>
      <w:r w:rsidR="00D30542">
        <w:rPr>
          <w:rFonts w:ascii="Arial" w:hAnsi="Arial"/>
          <w:b/>
        </w:rPr>
        <w:t>on</w:t>
      </w:r>
      <w:proofErr w:type="spellEnd"/>
    </w:p>
    <w:p w:rsidR="008A5169" w:rsidRDefault="00D30542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 système satisfait aux exigences de l’</w:t>
      </w:r>
      <w:proofErr w:type="spellStart"/>
      <w:r w:rsidRPr="00D30542">
        <w:rPr>
          <w:lang w:val="fr-BE"/>
        </w:rPr>
        <w:t>UBAtc</w:t>
      </w:r>
      <w:proofErr w:type="spellEnd"/>
      <w:r w:rsidRPr="00D30542">
        <w:rPr>
          <w:lang w:val="fr-BE"/>
        </w:rPr>
        <w:t xml:space="preserve"> et a reçu un agrément technique avec certificat (ATG</w:t>
      </w:r>
      <w:r w:rsidR="005A598C" w:rsidRPr="00D30542">
        <w:rPr>
          <w:lang w:val="fr-BE"/>
        </w:rPr>
        <w:t>)</w:t>
      </w:r>
      <w:r w:rsidR="00FD410F" w:rsidRPr="00D30542">
        <w:rPr>
          <w:lang w:val="fr-BE"/>
        </w:rPr>
        <w:t>.</w:t>
      </w: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C21DC5" w:rsidRDefault="00C21DC5" w:rsidP="00C21DC5">
      <w:pPr>
        <w:pStyle w:val="Bulleted2"/>
        <w:numPr>
          <w:ilvl w:val="0"/>
          <w:numId w:val="0"/>
        </w:numPr>
        <w:rPr>
          <w:lang w:val="fr-BE"/>
        </w:rPr>
      </w:pPr>
    </w:p>
    <w:p w:rsidR="00C21DC5" w:rsidRPr="00CF5D03" w:rsidRDefault="00C21DC5" w:rsidP="00C21DC5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CF5D03">
        <w:rPr>
          <w:highlight w:val="yellow"/>
          <w:vertAlign w:val="superscript"/>
          <w:lang w:val="fr-BE"/>
        </w:rPr>
        <w:t>“ O-ring noir en CIIR” of “O-ring bleu en FKM” (voir tableaux d’</w:t>
      </w:r>
      <w:r>
        <w:rPr>
          <w:highlight w:val="yellow"/>
          <w:vertAlign w:val="superscript"/>
          <w:lang w:val="fr-BE"/>
        </w:rPr>
        <w:t>utilisation)</w:t>
      </w:r>
    </w:p>
    <w:p w:rsidR="00C21DC5" w:rsidRPr="004957D8" w:rsidRDefault="00C21DC5" w:rsidP="00C21DC5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à omettre en cas d’un O-ring bleu en FKM</w:t>
      </w:r>
    </w:p>
    <w:p w:rsidR="00C21DC5" w:rsidRPr="004957D8" w:rsidRDefault="00C21DC5" w:rsidP="00C21DC5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Pression de service maximale pour applications courantes</w:t>
      </w:r>
      <w:r>
        <w:rPr>
          <w:highlight w:val="yellow"/>
          <w:vertAlign w:val="superscript"/>
          <w:lang w:val="fr-BE"/>
        </w:rPr>
        <w:t xml:space="preserve"> (voir tableaux d’utilisation)</w:t>
      </w:r>
      <w:r w:rsidRPr="004957D8">
        <w:rPr>
          <w:highlight w:val="yellow"/>
          <w:vertAlign w:val="superscript"/>
          <w:lang w:val="fr-BE"/>
        </w:rPr>
        <w:t>:</w:t>
      </w:r>
    </w:p>
    <w:p w:rsidR="00C21DC5" w:rsidRDefault="00C21DC5" w:rsidP="00C21DC5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R</w:t>
      </w:r>
      <w:r w:rsidRPr="00891F10">
        <w:rPr>
          <w:highlight w:val="yellow"/>
          <w:vertAlign w:val="superscript"/>
          <w:lang w:val="fr-BE"/>
        </w:rPr>
        <w:t>efroidissement</w:t>
      </w:r>
      <w:r>
        <w:rPr>
          <w:highlight w:val="yellow"/>
          <w:vertAlign w:val="superscript"/>
          <w:lang w:val="fr-BE"/>
        </w:rPr>
        <w:t xml:space="preserve"> et chauffage</w:t>
      </w:r>
      <w:r w:rsidRPr="00891F10">
        <w:rPr>
          <w:highlight w:val="yellow"/>
          <w:vertAlign w:val="superscript"/>
          <w:lang w:val="fr-BE"/>
        </w:rPr>
        <w:t>: 16 bar</w:t>
      </w:r>
    </w:p>
    <w:p w:rsidR="00C21DC5" w:rsidRPr="004957D8" w:rsidRDefault="00C21DC5" w:rsidP="00C21DC5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Température de service pour applications courantes</w:t>
      </w:r>
      <w:r>
        <w:rPr>
          <w:highlight w:val="yellow"/>
          <w:vertAlign w:val="superscript"/>
          <w:lang w:val="fr-BE"/>
        </w:rPr>
        <w:t xml:space="preserve"> (voir tableaux d’utilisation)</w:t>
      </w:r>
      <w:r w:rsidRPr="004957D8">
        <w:rPr>
          <w:highlight w:val="yellow"/>
          <w:vertAlign w:val="superscript"/>
          <w:lang w:val="fr-BE"/>
        </w:rPr>
        <w:t>:</w:t>
      </w:r>
    </w:p>
    <w:p w:rsidR="00C21DC5" w:rsidRPr="004957D8" w:rsidRDefault="00C21DC5" w:rsidP="00C21DC5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R</w:t>
      </w:r>
      <w:r w:rsidRPr="004957D8">
        <w:rPr>
          <w:highlight w:val="yellow"/>
          <w:vertAlign w:val="superscript"/>
          <w:lang w:val="fr-BE"/>
        </w:rPr>
        <w:t xml:space="preserve">efroidissement </w:t>
      </w:r>
      <w:r>
        <w:rPr>
          <w:highlight w:val="yellow"/>
          <w:vertAlign w:val="superscript"/>
          <w:lang w:val="fr-BE"/>
        </w:rPr>
        <w:t xml:space="preserve">sans </w:t>
      </w:r>
      <w:proofErr w:type="spellStart"/>
      <w:r>
        <w:rPr>
          <w:highlight w:val="yellow"/>
          <w:vertAlign w:val="superscript"/>
          <w:lang w:val="fr-BE"/>
        </w:rPr>
        <w:t>anti-gel</w:t>
      </w:r>
      <w:proofErr w:type="spellEnd"/>
      <w:r>
        <w:rPr>
          <w:highlight w:val="yellow"/>
          <w:vertAlign w:val="superscript"/>
          <w:lang w:val="fr-BE"/>
        </w:rPr>
        <w:t xml:space="preserve"> </w:t>
      </w:r>
      <w:r w:rsidRPr="004957D8">
        <w:rPr>
          <w:highlight w:val="yellow"/>
          <w:vertAlign w:val="superscript"/>
          <w:lang w:val="fr-BE"/>
        </w:rPr>
        <w:t>et chauffage: 0°C – 100°C</w:t>
      </w:r>
    </w:p>
    <w:p w:rsidR="00C21DC5" w:rsidRPr="00C21DC5" w:rsidRDefault="00C21DC5" w:rsidP="00C21DC5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 xml:space="preserve">Refroidissement avec </w:t>
      </w:r>
      <w:proofErr w:type="spellStart"/>
      <w:r w:rsidRPr="004957D8">
        <w:rPr>
          <w:highlight w:val="yellow"/>
          <w:vertAlign w:val="superscript"/>
          <w:lang w:val="fr-BE"/>
        </w:rPr>
        <w:t>anti-gel</w:t>
      </w:r>
      <w:proofErr w:type="spellEnd"/>
      <w:r w:rsidRPr="004957D8">
        <w:rPr>
          <w:highlight w:val="yellow"/>
          <w:vertAlign w:val="superscript"/>
          <w:lang w:val="fr-BE"/>
        </w:rPr>
        <w:t>: -30°C – 120°C</w:t>
      </w: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Pr="004957D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  <w:bookmarkStart w:id="0" w:name="_GoBack"/>
      <w:bookmarkEnd w:id="0"/>
    </w:p>
    <w:sectPr w:rsidR="001C49B8" w:rsidRPr="004957D8" w:rsidSect="0069129C">
      <w:headerReference w:type="default" r:id="rId7"/>
      <w:footerReference w:type="default" r:id="rId8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636D" w:rsidRDefault="0051636D">
      <w:r>
        <w:separator/>
      </w:r>
    </w:p>
  </w:endnote>
  <w:endnote w:type="continuationSeparator" w:id="0">
    <w:p w:rsidR="0051636D" w:rsidRDefault="00516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636D" w:rsidRDefault="0051636D">
      <w:r>
        <w:separator/>
      </w:r>
    </w:p>
  </w:footnote>
  <w:footnote w:type="continuationSeparator" w:id="0">
    <w:p w:rsidR="0051636D" w:rsidRDefault="00516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E63" w:rsidRDefault="00025544" w:rsidP="00080B0F">
    <w:pPr>
      <w:pStyle w:val="Koptekst"/>
      <w:rPr>
        <w:rFonts w:ascii="Arial" w:hAnsi="Arial" w:cs="Arial"/>
        <w:b/>
        <w:lang w:val="fr-BE"/>
      </w:rPr>
    </w:pPr>
    <w:proofErr w:type="spellStart"/>
    <w:r w:rsidRPr="00BB1E63">
      <w:rPr>
        <w:rFonts w:ascii="Arial" w:hAnsi="Arial" w:cs="Arial"/>
        <w:b/>
        <w:lang w:val="fr-BE"/>
      </w:rPr>
      <w:t>Geberit</w:t>
    </w:r>
    <w:proofErr w:type="spellEnd"/>
    <w:r w:rsidRPr="00BB1E63">
      <w:rPr>
        <w:rFonts w:ascii="Arial" w:hAnsi="Arial" w:cs="Arial"/>
        <w:b/>
        <w:lang w:val="fr-BE"/>
      </w:rPr>
      <w:t xml:space="preserve"> </w:t>
    </w:r>
    <w:proofErr w:type="spellStart"/>
    <w:r w:rsidR="00886585" w:rsidRPr="00BB1E63">
      <w:rPr>
        <w:rFonts w:ascii="Arial" w:hAnsi="Arial" w:cs="Arial"/>
        <w:b/>
        <w:lang w:val="fr-BE"/>
      </w:rPr>
      <w:t>M</w:t>
    </w:r>
    <w:r w:rsidR="005D1729" w:rsidRPr="00BB1E63">
      <w:rPr>
        <w:rFonts w:ascii="Arial" w:hAnsi="Arial" w:cs="Arial"/>
        <w:b/>
        <w:lang w:val="fr-BE"/>
      </w:rPr>
      <w:t>apress</w:t>
    </w:r>
    <w:proofErr w:type="spellEnd"/>
    <w:r w:rsidR="005D1729" w:rsidRPr="00BB1E63">
      <w:rPr>
        <w:rFonts w:ascii="Arial" w:hAnsi="Arial" w:cs="Arial"/>
        <w:b/>
        <w:lang w:val="fr-BE"/>
      </w:rPr>
      <w:t xml:space="preserve"> </w:t>
    </w:r>
    <w:r w:rsidR="00B95456" w:rsidRPr="00BB1E63">
      <w:rPr>
        <w:rFonts w:ascii="Arial" w:hAnsi="Arial" w:cs="Arial"/>
        <w:b/>
        <w:lang w:val="fr-BE"/>
      </w:rPr>
      <w:t>Acier-C</w:t>
    </w:r>
    <w:r w:rsidR="00BB1E63">
      <w:rPr>
        <w:rFonts w:ascii="Arial" w:hAnsi="Arial" w:cs="Arial"/>
        <w:b/>
        <w:lang w:val="fr-BE"/>
      </w:rPr>
      <w:tab/>
    </w:r>
    <w:r w:rsidR="00BB1E63" w:rsidRPr="00BB1E63">
      <w:rPr>
        <w:rFonts w:ascii="Arial" w:hAnsi="Arial" w:cs="Arial"/>
        <w:b/>
        <w:lang w:val="fr-BE"/>
      </w:rPr>
      <w:t xml:space="preserve"> </w:t>
    </w:r>
    <w:r w:rsidR="00BB1E63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3DB212F6" wp14:editId="738E4F24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25544" w:rsidRPr="00BB1E63" w:rsidRDefault="007653FE" w:rsidP="00080B0F">
    <w:pPr>
      <w:pStyle w:val="Koptekst"/>
      <w:rPr>
        <w:rFonts w:ascii="Arial" w:hAnsi="Arial" w:cs="Arial"/>
        <w:b/>
        <w:szCs w:val="24"/>
        <w:lang w:val="fr-BE"/>
      </w:rPr>
    </w:pPr>
    <w:r w:rsidRPr="00BB1E63">
      <w:rPr>
        <w:rFonts w:ascii="Arial" w:hAnsi="Arial" w:cs="Arial"/>
        <w:lang w:val="fr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49B8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B1975"/>
    <w:rsid w:val="003C146E"/>
    <w:rsid w:val="003C209B"/>
    <w:rsid w:val="003C78B8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4CF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64107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57D8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1636D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3795"/>
    <w:rsid w:val="007E03CF"/>
    <w:rsid w:val="007E0CBA"/>
    <w:rsid w:val="007E6348"/>
    <w:rsid w:val="007E655D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63B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5855"/>
    <w:rsid w:val="00AB6EEB"/>
    <w:rsid w:val="00AC70B5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5456"/>
    <w:rsid w:val="00BA062A"/>
    <w:rsid w:val="00BB1E63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0BB9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1DC5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5D03"/>
    <w:rsid w:val="00D00737"/>
    <w:rsid w:val="00D06139"/>
    <w:rsid w:val="00D12DE4"/>
    <w:rsid w:val="00D147B6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463AD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B29028E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338CB5D1-1E0B-4B0D-B874-86FFF52AF125}"/>
</file>

<file path=customXml/itemProps2.xml><?xml version="1.0" encoding="utf-8"?>
<ds:datastoreItem xmlns:ds="http://schemas.openxmlformats.org/officeDocument/2006/customXml" ds:itemID="{37329A6A-D8CB-4763-9CD5-591ED0F7BD6F}"/>
</file>

<file path=customXml/itemProps3.xml><?xml version="1.0" encoding="utf-8"?>
<ds:datastoreItem xmlns:ds="http://schemas.openxmlformats.org/officeDocument/2006/customXml" ds:itemID="{6CBE139E-D7FC-4160-BAC6-B58A45744EDF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</TotalTime>
  <Pages>3</Pages>
  <Words>666</Words>
  <Characters>3665</Characters>
  <Application>Microsoft Office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3</cp:revision>
  <cp:lastPrinted>2011-12-15T11:14:00Z</cp:lastPrinted>
  <dcterms:created xsi:type="dcterms:W3CDTF">2020-03-30T16:22:00Z</dcterms:created>
  <dcterms:modified xsi:type="dcterms:W3CDTF">2020-03-30T16:25:00Z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48800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